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92E9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ind w:firstLine="723" w:firstLineChars="200"/>
        <w:jc w:val="center"/>
        <w:textAlignment w:val="baseline"/>
        <w:rPr>
          <w:rFonts w:hint="default" w:eastAsia="宋体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办学承诺书</w:t>
      </w:r>
      <w:r>
        <w:rPr>
          <w:rFonts w:hint="eastAsia"/>
          <w:b/>
          <w:bCs/>
          <w:sz w:val="36"/>
          <w:szCs w:val="36"/>
          <w:lang w:eastAsia="zh-CN"/>
        </w:rPr>
        <w:t>（</w:t>
      </w:r>
      <w:r>
        <w:rPr>
          <w:rFonts w:hint="eastAsia"/>
          <w:b/>
          <w:bCs/>
          <w:sz w:val="36"/>
          <w:szCs w:val="36"/>
          <w:lang w:val="en-US" w:eastAsia="zh-CN"/>
        </w:rPr>
        <w:t>参考范本）</w:t>
      </w:r>
    </w:p>
    <w:p w14:paraId="65D5587D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为进一步规范高等学历</w:t>
      </w:r>
      <w:r>
        <w:rPr>
          <w:rFonts w:hint="eastAsia"/>
          <w:sz w:val="24"/>
          <w:szCs w:val="24"/>
          <w:lang w:val="en-US" w:eastAsia="zh-CN"/>
        </w:rPr>
        <w:t>继续</w:t>
      </w:r>
      <w:r>
        <w:rPr>
          <w:rFonts w:hint="eastAsia"/>
          <w:sz w:val="24"/>
          <w:szCs w:val="24"/>
        </w:rPr>
        <w:t>教育的办学行为，提高高等学历</w:t>
      </w:r>
      <w:r>
        <w:rPr>
          <w:rFonts w:hint="eastAsia"/>
          <w:sz w:val="24"/>
          <w:szCs w:val="24"/>
          <w:lang w:val="en-US" w:eastAsia="zh-CN"/>
        </w:rPr>
        <w:t>继续</w:t>
      </w:r>
      <w:r>
        <w:rPr>
          <w:rFonts w:hint="eastAsia"/>
          <w:sz w:val="24"/>
          <w:szCs w:val="24"/>
        </w:rPr>
        <w:t>教育的教学质量，</w:t>
      </w:r>
      <w:r>
        <w:rPr>
          <w:rFonts w:hint="eastAsia"/>
          <w:sz w:val="24"/>
          <w:szCs w:val="24"/>
          <w:u w:val="single"/>
          <w:lang w:val="en-US" w:eastAsia="zh-CN"/>
        </w:rPr>
        <w:t>单位名称</w:t>
      </w:r>
      <w:r>
        <w:rPr>
          <w:rFonts w:hint="eastAsia"/>
          <w:sz w:val="24"/>
          <w:szCs w:val="24"/>
        </w:rPr>
        <w:t>就</w:t>
      </w:r>
      <w:r>
        <w:rPr>
          <w:rFonts w:hint="eastAsia"/>
          <w:sz w:val="24"/>
          <w:szCs w:val="24"/>
          <w:lang w:val="en-US" w:eastAsia="zh-CN"/>
        </w:rPr>
        <w:t>太原学院设立</w:t>
      </w:r>
      <w:r>
        <w:rPr>
          <w:rFonts w:hint="eastAsia"/>
          <w:sz w:val="24"/>
          <w:szCs w:val="24"/>
          <w:u w:val="single"/>
          <w:lang w:val="en-US" w:eastAsia="zh-CN"/>
        </w:rPr>
        <w:t>单位名称</w:t>
      </w:r>
      <w:r>
        <w:rPr>
          <w:rFonts w:hint="eastAsia"/>
          <w:sz w:val="24"/>
          <w:szCs w:val="24"/>
        </w:rPr>
        <w:t>校外教学点郑重做出以下承诺:</w:t>
      </w:r>
    </w:p>
    <w:p w14:paraId="43C9FF2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一、依法依规合作办学。严格按照国家和省教育厅的规定举办校外教学点，办学资质符合规定要求，办学条件满足开设专业、规模的需要。</w:t>
      </w:r>
    </w:p>
    <w:p w14:paraId="15A4432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二、诚信合作办学。不点外设点，保证学生在校外教学点内组织教学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不以校外教学点的名义进行招生宣传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不委托中介和个人进行招生宣传、组织办学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不接收中介机构和个人有偿提供的生源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不以校外教学点名义印发“录取通知书”、“入学通知书”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不违规招收“免试生”、“超前生”、“进修生”等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切实维护办学声誉。</w:t>
      </w:r>
    </w:p>
    <w:p w14:paraId="5655EB0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三、严格教学过程管理。执行主办学校教学计划，保质保量按时完成教学任务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加强学风建设，确保学生到课率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严肃考风考纪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确保考试纪律。</w:t>
      </w:r>
    </w:p>
    <w:p w14:paraId="6A5BAF0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四、加大对校外教学点的投入。按照办学规模和教学需要，不断改善办学条件，满足校外教学点的教学要求。</w:t>
      </w:r>
    </w:p>
    <w:p w14:paraId="4596291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五、严格财务制度。与主办学校的财务往来通过银行对公业务进行，不乱收费。</w:t>
      </w:r>
    </w:p>
    <w:p w14:paraId="5F39FFB6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六、按时报送校外教学点年度检查资料，确保所有填报内容真实、完整，并愿意接受社会各界监督。经年检机关检查发现填报内容与实际不符的，本单位自觉承担相应责任。</w:t>
      </w:r>
    </w:p>
    <w:p w14:paraId="457D7AC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/>
          <w:sz w:val="24"/>
          <w:szCs w:val="24"/>
        </w:rPr>
      </w:pPr>
    </w:p>
    <w:p w14:paraId="1BE2AB3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ind w:firstLine="4560" w:firstLineChars="1900"/>
        <w:jc w:val="both"/>
        <w:textAlignment w:val="baseline"/>
        <w:rPr>
          <w:rFonts w:hint="eastAsia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/>
          <w:sz w:val="24"/>
          <w:szCs w:val="24"/>
        </w:rPr>
        <w:t>设点单位(公章)</w:t>
      </w:r>
      <w:r>
        <w:rPr>
          <w:rFonts w:hint="eastAsia"/>
          <w:sz w:val="24"/>
          <w:szCs w:val="24"/>
          <w:lang w:eastAsia="zh-CN"/>
        </w:rPr>
        <w:t>：</w:t>
      </w:r>
    </w:p>
    <w:p w14:paraId="2A315623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ind w:firstLine="4560" w:firstLineChars="1900"/>
        <w:jc w:val="both"/>
        <w:textAlignment w:val="baseline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设点单位法人</w:t>
      </w:r>
      <w:r>
        <w:rPr>
          <w:rFonts w:hint="eastAsia"/>
          <w:sz w:val="24"/>
          <w:szCs w:val="24"/>
          <w:lang w:eastAsia="zh-CN"/>
        </w:rPr>
        <w:t>签字：</w:t>
      </w:r>
    </w:p>
    <w:p w14:paraId="26E8E53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60" w:lineRule="exact"/>
        <w:ind w:firstLine="5040" w:firstLineChars="2100"/>
        <w:jc w:val="both"/>
        <w:textAlignment w:val="baseline"/>
        <w:rPr>
          <w:sz w:val="24"/>
          <w:szCs w:val="24"/>
        </w:rPr>
      </w:pP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